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AB" w:rsidRPr="008F0A6A" w:rsidRDefault="0034498A" w:rsidP="004C6B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C6BAB" w:rsidRPr="008F0A6A">
        <w:rPr>
          <w:rFonts w:ascii="Times New Roman" w:hAnsi="Times New Roman" w:cs="Times New Roman"/>
          <w:sz w:val="26"/>
          <w:szCs w:val="26"/>
        </w:rPr>
        <w:t>TRUNG TÂM Y TẾ</w:t>
      </w:r>
      <w:r w:rsidR="00992D7F">
        <w:rPr>
          <w:rFonts w:ascii="Times New Roman" w:hAnsi="Times New Roman" w:cs="Times New Roman"/>
          <w:sz w:val="26"/>
          <w:szCs w:val="26"/>
        </w:rPr>
        <w:t xml:space="preserve"> GIÁ RAI       </w:t>
      </w:r>
      <w:r w:rsidR="00992D7F" w:rsidRPr="008F0A6A">
        <w:rPr>
          <w:rFonts w:ascii="Times New Roman" w:hAnsi="Times New Roman" w:cs="Times New Roman"/>
          <w:sz w:val="26"/>
          <w:szCs w:val="26"/>
        </w:rPr>
        <w:t>CỘNG HÒA XÃ HỘI CHỦ NGHĨA VIỆT NAM</w:t>
      </w:r>
    </w:p>
    <w:p w:rsidR="004C6BAB" w:rsidRPr="008F0A6A" w:rsidRDefault="004C6BAB" w:rsidP="004C6BAB">
      <w:pPr>
        <w:spacing w:after="0" w:line="240" w:lineRule="auto"/>
        <w:jc w:val="both"/>
        <w:rPr>
          <w:rFonts w:ascii="Times New Roman" w:hAnsi="Times New Roman" w:cs="Times New Roman"/>
          <w:sz w:val="26"/>
          <w:szCs w:val="26"/>
        </w:rPr>
      </w:pPr>
      <w:r w:rsidRPr="008F0A6A">
        <w:rPr>
          <w:rFonts w:ascii="Times New Roman" w:hAnsi="Times New Roman" w:cs="Times New Roman"/>
          <w:b/>
          <w:sz w:val="26"/>
          <w:szCs w:val="26"/>
        </w:rPr>
        <w:t>TỔ THÔNG TIN THUỐC-DLS</w:t>
      </w:r>
      <w:r w:rsidRPr="008F0A6A">
        <w:rPr>
          <w:rFonts w:ascii="Times New Roman" w:hAnsi="Times New Roman" w:cs="Times New Roman"/>
          <w:sz w:val="26"/>
          <w:szCs w:val="26"/>
        </w:rPr>
        <w:tab/>
      </w:r>
      <w:r w:rsidRPr="008F0A6A">
        <w:rPr>
          <w:rFonts w:ascii="Times New Roman" w:hAnsi="Times New Roman" w:cs="Times New Roman"/>
          <w:sz w:val="26"/>
          <w:szCs w:val="26"/>
        </w:rPr>
        <w:tab/>
      </w:r>
      <w:r w:rsidRPr="005B45DF">
        <w:rPr>
          <w:rFonts w:ascii="Times New Roman" w:hAnsi="Times New Roman" w:cs="Times New Roman"/>
          <w:sz w:val="26"/>
          <w:szCs w:val="26"/>
        </w:rPr>
        <w:t xml:space="preserve">  </w:t>
      </w:r>
      <w:r w:rsidR="00992D7F">
        <w:rPr>
          <w:rFonts w:ascii="Times New Roman" w:hAnsi="Times New Roman" w:cs="Times New Roman"/>
          <w:sz w:val="26"/>
          <w:szCs w:val="26"/>
        </w:rPr>
        <w:t xml:space="preserve">    </w:t>
      </w:r>
      <w:r w:rsidRPr="005B45DF">
        <w:rPr>
          <w:rFonts w:ascii="Times New Roman" w:hAnsi="Times New Roman" w:cs="Times New Roman"/>
          <w:b/>
          <w:sz w:val="26"/>
          <w:szCs w:val="26"/>
        </w:rPr>
        <w:t>Độc lập- Tự do- Hạnh phúc</w:t>
      </w:r>
    </w:p>
    <w:p w:rsidR="004C6BAB" w:rsidRPr="0014545E" w:rsidRDefault="00F92C86" w:rsidP="00AD739A">
      <w:pPr>
        <w:spacing w:before="120" w:after="0" w:line="360" w:lineRule="auto"/>
        <w:jc w:val="right"/>
        <w:rPr>
          <w:rFonts w:ascii="Times New Roman" w:hAnsi="Times New Roman" w:cs="Times New Roman"/>
          <w:b/>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3135630</wp:posOffset>
                </wp:positionH>
                <wp:positionV relativeFrom="paragraph">
                  <wp:posOffset>14605</wp:posOffset>
                </wp:positionV>
                <wp:extent cx="1657350" cy="0"/>
                <wp:effectExtent l="11430" t="508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6.9pt;margin-top:1.15pt;width:1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pD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xm08fJF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"/>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401955</wp:posOffset>
                </wp:positionH>
                <wp:positionV relativeFrom="paragraph">
                  <wp:posOffset>-635</wp:posOffset>
                </wp:positionV>
                <wp:extent cx="1495425" cy="9525"/>
                <wp:effectExtent l="11430" t="8890" r="762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1.65pt;margin-top:-.05pt;width:11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"/>
            </w:pict>
          </mc:Fallback>
        </mc:AlternateContent>
      </w:r>
      <w:r w:rsidR="004C6BAB">
        <w:rPr>
          <w:rFonts w:ascii="Times New Roman" w:hAnsi="Times New Roman" w:cs="Times New Roman"/>
          <w:i/>
          <w:sz w:val="24"/>
          <w:szCs w:val="24"/>
          <w:lang w:val="vi-VN"/>
        </w:rPr>
        <w:t xml:space="preserve">Giá Rai, ngày </w:t>
      </w:r>
      <w:r w:rsidR="008E2B62">
        <w:rPr>
          <w:rFonts w:ascii="Times New Roman" w:hAnsi="Times New Roman" w:cs="Times New Roman"/>
          <w:i/>
          <w:sz w:val="24"/>
          <w:szCs w:val="24"/>
        </w:rPr>
        <w:t>26</w:t>
      </w:r>
      <w:r w:rsidR="004C6BAB">
        <w:rPr>
          <w:rFonts w:ascii="Times New Roman" w:hAnsi="Times New Roman" w:cs="Times New Roman"/>
          <w:i/>
          <w:sz w:val="24"/>
          <w:szCs w:val="24"/>
          <w:lang w:val="vi-VN"/>
        </w:rPr>
        <w:t xml:space="preserve"> tháng </w:t>
      </w:r>
      <w:r w:rsidR="00CF603D">
        <w:rPr>
          <w:rFonts w:ascii="Times New Roman" w:hAnsi="Times New Roman" w:cs="Times New Roman"/>
          <w:i/>
          <w:sz w:val="24"/>
          <w:szCs w:val="24"/>
        </w:rPr>
        <w:t>4</w:t>
      </w:r>
      <w:r w:rsidR="004C6BAB">
        <w:rPr>
          <w:rFonts w:ascii="Times New Roman" w:hAnsi="Times New Roman" w:cs="Times New Roman"/>
          <w:i/>
          <w:sz w:val="24"/>
          <w:szCs w:val="24"/>
        </w:rPr>
        <w:t xml:space="preserve"> </w:t>
      </w:r>
      <w:r w:rsidR="004C6BAB">
        <w:rPr>
          <w:rFonts w:ascii="Times New Roman" w:hAnsi="Times New Roman" w:cs="Times New Roman"/>
          <w:i/>
          <w:sz w:val="24"/>
          <w:szCs w:val="24"/>
          <w:lang w:val="vi-VN"/>
        </w:rPr>
        <w:t>năm 202</w:t>
      </w:r>
      <w:r w:rsidR="00CF603D">
        <w:rPr>
          <w:rFonts w:ascii="Times New Roman" w:hAnsi="Times New Roman" w:cs="Times New Roman"/>
          <w:i/>
          <w:sz w:val="24"/>
          <w:szCs w:val="24"/>
        </w:rPr>
        <w:t>2</w:t>
      </w:r>
    </w:p>
    <w:p w:rsidR="004C6BAB" w:rsidRPr="00D50274" w:rsidRDefault="004C6BAB" w:rsidP="002748DA">
      <w:pPr>
        <w:spacing w:before="240" w:after="0" w:line="240" w:lineRule="auto"/>
        <w:jc w:val="center"/>
        <w:rPr>
          <w:rFonts w:ascii="Times New Roman" w:hAnsi="Times New Roman" w:cs="Times New Roman"/>
          <w:b/>
          <w:sz w:val="32"/>
          <w:szCs w:val="32"/>
        </w:rPr>
      </w:pPr>
      <w:r w:rsidRPr="00D50274">
        <w:rPr>
          <w:rFonts w:ascii="Times New Roman" w:hAnsi="Times New Roman" w:cs="Times New Roman"/>
          <w:b/>
          <w:sz w:val="32"/>
          <w:szCs w:val="32"/>
        </w:rPr>
        <w:t>THÔNG TIN THUỐ</w:t>
      </w:r>
      <w:r w:rsidR="00E51A9A">
        <w:rPr>
          <w:rFonts w:ascii="Times New Roman" w:hAnsi="Times New Roman" w:cs="Times New Roman"/>
          <w:b/>
          <w:sz w:val="32"/>
          <w:szCs w:val="32"/>
        </w:rPr>
        <w:t>C</w:t>
      </w:r>
    </w:p>
    <w:p w:rsidR="00CF603D" w:rsidRPr="008E2B62" w:rsidRDefault="004C6BAB" w:rsidP="00CF603D">
      <w:pPr>
        <w:spacing w:after="0" w:line="240" w:lineRule="auto"/>
        <w:jc w:val="center"/>
        <w:rPr>
          <w:rFonts w:ascii="Times New Roman" w:hAnsi="Times New Roman" w:cs="Times New Roman"/>
          <w:b/>
          <w:i/>
          <w:sz w:val="26"/>
          <w:szCs w:val="26"/>
        </w:rPr>
      </w:pPr>
      <w:r w:rsidRPr="008E2B62">
        <w:rPr>
          <w:rFonts w:ascii="Times New Roman" w:hAnsi="Times New Roman" w:cs="Times New Roman"/>
          <w:b/>
          <w:i/>
          <w:sz w:val="26"/>
          <w:szCs w:val="26"/>
        </w:rPr>
        <w:t xml:space="preserve">(V/v </w:t>
      </w:r>
      <w:r w:rsidR="00CF603D" w:rsidRPr="008E2B62">
        <w:rPr>
          <w:rFonts w:ascii="Times New Roman" w:hAnsi="Times New Roman" w:cs="Times New Roman"/>
          <w:b/>
          <w:i/>
          <w:sz w:val="26"/>
          <w:szCs w:val="26"/>
        </w:rPr>
        <w:t xml:space="preserve">cập nhật thông tin sử dụng nhóm thuốc ức chế bơm proton </w:t>
      </w:r>
    </w:p>
    <w:p w:rsidR="004C6BAB" w:rsidRPr="008E2B62" w:rsidRDefault="008E2B62" w:rsidP="00D50274">
      <w:pPr>
        <w:spacing w:after="240" w:line="240" w:lineRule="auto"/>
        <w:jc w:val="center"/>
        <w:rPr>
          <w:rFonts w:ascii="Times New Roman" w:hAnsi="Times New Roman" w:cs="Times New Roman"/>
          <w:b/>
          <w:i/>
          <w:sz w:val="26"/>
          <w:szCs w:val="26"/>
        </w:rPr>
      </w:pPr>
      <w:r w:rsidRPr="008E2B62">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5577A93D" wp14:editId="6AA471E8">
                <wp:simplePos x="0" y="0"/>
                <wp:positionH relativeFrom="column">
                  <wp:posOffset>2092960</wp:posOffset>
                </wp:positionH>
                <wp:positionV relativeFrom="paragraph">
                  <wp:posOffset>205691</wp:posOffset>
                </wp:positionV>
                <wp:extent cx="1495425" cy="952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4.8pt;margin-top:16.2pt;width:117.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"/>
            </w:pict>
          </mc:Fallback>
        </mc:AlternateContent>
      </w:r>
      <w:r w:rsidR="00CF603D" w:rsidRPr="008E2B62">
        <w:rPr>
          <w:rFonts w:ascii="Times New Roman" w:hAnsi="Times New Roman" w:cs="Times New Roman"/>
          <w:b/>
          <w:i/>
          <w:sz w:val="26"/>
          <w:szCs w:val="26"/>
        </w:rPr>
        <w:t>trong xử trí xuất huyết tiêu hóa trên do loét dạ dày – tá tràng</w:t>
      </w:r>
      <w:r w:rsidR="004C6BAB" w:rsidRPr="008E2B62">
        <w:rPr>
          <w:rFonts w:ascii="Times New Roman" w:hAnsi="Times New Roman" w:cs="Times New Roman"/>
          <w:b/>
          <w:i/>
          <w:sz w:val="26"/>
          <w:szCs w:val="26"/>
        </w:rPr>
        <w:t>)</w:t>
      </w:r>
    </w:p>
    <w:p w:rsidR="00BD03B9" w:rsidRPr="008E2B62" w:rsidRDefault="00BD03B9" w:rsidP="005D6DE0">
      <w:pPr>
        <w:spacing w:after="0" w:line="360" w:lineRule="auto"/>
        <w:ind w:right="-45" w:firstLine="720"/>
        <w:jc w:val="both"/>
        <w:rPr>
          <w:rFonts w:ascii="Times New Roman" w:hAnsi="Times New Roman" w:cs="Times New Roman"/>
          <w:sz w:val="26"/>
          <w:szCs w:val="26"/>
        </w:rPr>
      </w:pPr>
      <w:r w:rsidRPr="008E2B62">
        <w:rPr>
          <w:rFonts w:ascii="Times New Roman" w:hAnsi="Times New Roman" w:cs="Times New Roman"/>
          <w:sz w:val="26"/>
          <w:szCs w:val="26"/>
        </w:rPr>
        <w:t xml:space="preserve">Nhằm đảm bảo sử dụng thuốc </w:t>
      </w:r>
      <w:r w:rsidR="00CF603D" w:rsidRPr="008E2B62">
        <w:rPr>
          <w:rFonts w:ascii="Times New Roman" w:hAnsi="Times New Roman" w:cs="Times New Roman"/>
          <w:sz w:val="26"/>
          <w:szCs w:val="26"/>
        </w:rPr>
        <w:t>ức chế bơm proton</w:t>
      </w:r>
      <w:r w:rsidRPr="008E2B62">
        <w:rPr>
          <w:rFonts w:ascii="Times New Roman" w:hAnsi="Times New Roman" w:cs="Times New Roman"/>
          <w:sz w:val="26"/>
          <w:szCs w:val="26"/>
        </w:rPr>
        <w:t xml:space="preserve"> an toàn, hiệu quả và hợp lý, tổ thông tin thuố</w:t>
      </w:r>
      <w:r w:rsidR="00773514">
        <w:rPr>
          <w:rFonts w:ascii="Times New Roman" w:hAnsi="Times New Roman" w:cs="Times New Roman"/>
          <w:sz w:val="26"/>
          <w:szCs w:val="26"/>
        </w:rPr>
        <w:t>c</w:t>
      </w:r>
      <w:r w:rsidRPr="008E2B62">
        <w:rPr>
          <w:rFonts w:ascii="Times New Roman" w:hAnsi="Times New Roman" w:cs="Times New Roman"/>
          <w:sz w:val="26"/>
          <w:szCs w:val="26"/>
        </w:rPr>
        <w:t xml:space="preserve"> gửi đến các bác sĩ về các thông tin </w:t>
      </w:r>
      <w:r w:rsidR="00CF603D" w:rsidRPr="008E2B62">
        <w:rPr>
          <w:rFonts w:ascii="Times New Roman" w:hAnsi="Times New Roman" w:cs="Times New Roman"/>
          <w:sz w:val="26"/>
          <w:szCs w:val="26"/>
        </w:rPr>
        <w:t>cập nhật xử trí xuất huyết tiêu hóa trên do loét dạ dày – tá tràng.</w:t>
      </w:r>
    </w:p>
    <w:p w:rsidR="00CF603D" w:rsidRPr="008E2B62" w:rsidRDefault="00CF603D" w:rsidP="005D6DE0">
      <w:pPr>
        <w:spacing w:after="0" w:line="360" w:lineRule="auto"/>
        <w:ind w:right="-45" w:firstLine="720"/>
        <w:jc w:val="both"/>
        <w:rPr>
          <w:rFonts w:ascii="Times New Roman" w:hAnsi="Times New Roman" w:cs="Times New Roman"/>
          <w:sz w:val="26"/>
          <w:szCs w:val="26"/>
        </w:rPr>
      </w:pPr>
      <w:r w:rsidRPr="008E2B62">
        <w:rPr>
          <w:rFonts w:ascii="Times New Roman" w:hAnsi="Times New Roman" w:cs="Times New Roman"/>
          <w:sz w:val="26"/>
          <w:szCs w:val="26"/>
        </w:rPr>
        <w:t xml:space="preserve">Sau 9 năm kể từ phiên bản hướng dẫn điều trị xử trí xuất huyết tiêu hóa trên của Hiệp hội tiêu hóa Hoa Kỳ (American College of Gastroenterology –ACG) năm 2012, </w:t>
      </w:r>
      <w:r w:rsidR="002748DA" w:rsidRPr="008E2B62">
        <w:rPr>
          <w:rFonts w:ascii="Times New Roman" w:hAnsi="Times New Roman" w:cs="Times New Roman"/>
          <w:sz w:val="26"/>
          <w:szCs w:val="26"/>
        </w:rPr>
        <w:t xml:space="preserve">thì </w:t>
      </w:r>
      <w:r w:rsidRPr="008E2B62">
        <w:rPr>
          <w:rFonts w:ascii="Times New Roman" w:hAnsi="Times New Roman" w:cs="Times New Roman"/>
          <w:sz w:val="26"/>
          <w:szCs w:val="26"/>
        </w:rPr>
        <w:t>vào năm 2021, Hiệp hộ</w:t>
      </w:r>
      <w:r w:rsidR="008E2B62">
        <w:rPr>
          <w:rFonts w:ascii="Times New Roman" w:hAnsi="Times New Roman" w:cs="Times New Roman"/>
          <w:sz w:val="26"/>
          <w:szCs w:val="26"/>
        </w:rPr>
        <w:t xml:space="preserve">i </w:t>
      </w:r>
      <w:r w:rsidRPr="008E2B62">
        <w:rPr>
          <w:rFonts w:ascii="Times New Roman" w:hAnsi="Times New Roman" w:cs="Times New Roman"/>
          <w:sz w:val="26"/>
          <w:szCs w:val="26"/>
        </w:rPr>
        <w:t>đã công bố hướng dẫn xử</w:t>
      </w:r>
      <w:r w:rsidR="008E2B62">
        <w:rPr>
          <w:rFonts w:ascii="Times New Roman" w:hAnsi="Times New Roman" w:cs="Times New Roman"/>
          <w:sz w:val="26"/>
          <w:szCs w:val="26"/>
        </w:rPr>
        <w:t xml:space="preserve"> trí x</w:t>
      </w:r>
      <w:r w:rsidRPr="008E2B62">
        <w:rPr>
          <w:rFonts w:ascii="Times New Roman" w:hAnsi="Times New Roman" w:cs="Times New Roman"/>
          <w:sz w:val="26"/>
          <w:szCs w:val="26"/>
        </w:rPr>
        <w:t>uất huyết tiêu hóa trên phiên bản mới nhấ</w:t>
      </w:r>
      <w:r w:rsidR="000E4CC6">
        <w:rPr>
          <w:rFonts w:ascii="Times New Roman" w:hAnsi="Times New Roman" w:cs="Times New Roman"/>
          <w:sz w:val="26"/>
          <w:szCs w:val="26"/>
        </w:rPr>
        <w:t>t. Tổ thông tin thuốc - DLS</w:t>
      </w:r>
      <w:r w:rsidRPr="008E2B62">
        <w:rPr>
          <w:rFonts w:ascii="Times New Roman" w:hAnsi="Times New Roman" w:cs="Times New Roman"/>
          <w:sz w:val="26"/>
          <w:szCs w:val="26"/>
        </w:rPr>
        <w:t xml:space="preserve"> xin </w:t>
      </w:r>
      <w:r w:rsidR="002748DA" w:rsidRPr="008E2B62">
        <w:rPr>
          <w:rFonts w:ascii="Times New Roman" w:hAnsi="Times New Roman" w:cs="Times New Roman"/>
          <w:sz w:val="26"/>
          <w:szCs w:val="26"/>
        </w:rPr>
        <w:t>tiến hành so sánh</w:t>
      </w:r>
      <w:r w:rsidRPr="008E2B62">
        <w:rPr>
          <w:rFonts w:ascii="Times New Roman" w:hAnsi="Times New Roman" w:cs="Times New Roman"/>
          <w:sz w:val="26"/>
          <w:szCs w:val="26"/>
        </w:rPr>
        <w:t xml:space="preserve"> hai phiên bản </w:t>
      </w:r>
      <w:r w:rsidR="008E2B62">
        <w:rPr>
          <w:rFonts w:ascii="Times New Roman" w:hAnsi="Times New Roman" w:cs="Times New Roman"/>
          <w:sz w:val="26"/>
          <w:szCs w:val="26"/>
        </w:rPr>
        <w:t>2012 và 2021</w:t>
      </w:r>
      <w:r w:rsidRPr="008E2B62">
        <w:rPr>
          <w:rFonts w:ascii="Times New Roman" w:hAnsi="Times New Roman" w:cs="Times New Roman"/>
          <w:sz w:val="26"/>
          <w:szCs w:val="26"/>
        </w:rPr>
        <w:t xml:space="preserve"> bám trên các nội dung liên quan đến thuốc ức chế bơm proton </w:t>
      </w:r>
      <w:r w:rsidRPr="008E2B62">
        <w:rPr>
          <w:rFonts w:ascii="Times New Roman" w:hAnsi="Times New Roman" w:cs="Times New Roman"/>
          <w:i/>
          <w:sz w:val="26"/>
          <w:szCs w:val="26"/>
        </w:rPr>
        <w:t>(viết tắt là PPI)</w:t>
      </w:r>
      <w:r w:rsidRPr="008E2B62">
        <w:rPr>
          <w:rFonts w:ascii="Times New Roman" w:hAnsi="Times New Roman" w:cs="Times New Roman"/>
          <w:sz w:val="26"/>
          <w:szCs w:val="26"/>
        </w:rPr>
        <w:t xml:space="preserve"> như sau:</w:t>
      </w:r>
    </w:p>
    <w:tbl>
      <w:tblPr>
        <w:tblStyle w:val="TableGrid"/>
        <w:tblW w:w="9606" w:type="dxa"/>
        <w:tblLayout w:type="fixed"/>
        <w:tblLook w:val="04A0" w:firstRow="1" w:lastRow="0" w:firstColumn="1" w:lastColumn="0" w:noHBand="0" w:noVBand="1"/>
      </w:tblPr>
      <w:tblGrid>
        <w:gridCol w:w="534"/>
        <w:gridCol w:w="3827"/>
        <w:gridCol w:w="5245"/>
      </w:tblGrid>
      <w:tr w:rsidR="00872AEA" w:rsidRPr="008E2B62" w:rsidTr="00872AEA">
        <w:tc>
          <w:tcPr>
            <w:tcW w:w="534" w:type="dxa"/>
          </w:tcPr>
          <w:p w:rsidR="008E2B62" w:rsidRPr="008E2B62" w:rsidRDefault="008E2B62" w:rsidP="002748DA">
            <w:pPr>
              <w:spacing w:before="120" w:after="0" w:line="360" w:lineRule="auto"/>
              <w:ind w:right="-45"/>
              <w:jc w:val="center"/>
              <w:rPr>
                <w:rFonts w:ascii="Times New Roman" w:hAnsi="Times New Roman" w:cs="Times New Roman"/>
                <w:b/>
                <w:sz w:val="26"/>
                <w:szCs w:val="26"/>
              </w:rPr>
            </w:pPr>
          </w:p>
        </w:tc>
        <w:tc>
          <w:tcPr>
            <w:tcW w:w="3827" w:type="dxa"/>
          </w:tcPr>
          <w:p w:rsidR="008E2B62" w:rsidRPr="008E2B62" w:rsidRDefault="008E2B62" w:rsidP="002748DA">
            <w:pPr>
              <w:spacing w:before="120" w:after="0" w:line="360" w:lineRule="auto"/>
              <w:ind w:right="-45"/>
              <w:jc w:val="center"/>
              <w:rPr>
                <w:rFonts w:ascii="Times New Roman" w:hAnsi="Times New Roman" w:cs="Times New Roman"/>
                <w:b/>
                <w:sz w:val="26"/>
                <w:szCs w:val="26"/>
              </w:rPr>
            </w:pPr>
            <w:r w:rsidRPr="008E2B62">
              <w:rPr>
                <w:rFonts w:ascii="Times New Roman" w:hAnsi="Times New Roman" w:cs="Times New Roman"/>
                <w:b/>
                <w:sz w:val="26"/>
                <w:szCs w:val="26"/>
              </w:rPr>
              <w:t>Hướng dẫn ACG năm 2012</w:t>
            </w:r>
          </w:p>
        </w:tc>
        <w:tc>
          <w:tcPr>
            <w:tcW w:w="5245" w:type="dxa"/>
          </w:tcPr>
          <w:p w:rsidR="008E2B62" w:rsidRPr="008E2B62" w:rsidRDefault="008E2B62" w:rsidP="002748DA">
            <w:pPr>
              <w:spacing w:before="120" w:after="0" w:line="360" w:lineRule="auto"/>
              <w:ind w:right="-45"/>
              <w:jc w:val="center"/>
              <w:rPr>
                <w:rFonts w:ascii="Times New Roman" w:hAnsi="Times New Roman" w:cs="Times New Roman"/>
                <w:b/>
                <w:sz w:val="26"/>
                <w:szCs w:val="26"/>
              </w:rPr>
            </w:pPr>
            <w:r w:rsidRPr="008E2B62">
              <w:rPr>
                <w:rFonts w:ascii="Times New Roman" w:hAnsi="Times New Roman" w:cs="Times New Roman"/>
                <w:b/>
                <w:sz w:val="26"/>
                <w:szCs w:val="26"/>
              </w:rPr>
              <w:t>Hướng dẫn ACG năm 2021</w:t>
            </w:r>
          </w:p>
        </w:tc>
      </w:tr>
      <w:tr w:rsidR="00157335" w:rsidRPr="008E2B62" w:rsidTr="00872AEA">
        <w:trPr>
          <w:cantSplit/>
          <w:trHeight w:val="1134"/>
        </w:trPr>
        <w:tc>
          <w:tcPr>
            <w:tcW w:w="534" w:type="dxa"/>
            <w:textDirection w:val="btLr"/>
          </w:tcPr>
          <w:p w:rsidR="008E2B62" w:rsidRPr="008E2B62" w:rsidRDefault="008E2B62" w:rsidP="00872AEA">
            <w:pPr>
              <w:spacing w:after="0" w:line="360" w:lineRule="auto"/>
              <w:ind w:left="113" w:right="-45"/>
              <w:rPr>
                <w:rFonts w:ascii="Times New Roman" w:hAnsi="Times New Roman" w:cs="Times New Roman"/>
                <w:b/>
                <w:sz w:val="26"/>
                <w:szCs w:val="26"/>
              </w:rPr>
            </w:pPr>
            <w:r w:rsidRPr="008E2B62">
              <w:rPr>
                <w:rFonts w:ascii="Times New Roman" w:hAnsi="Times New Roman" w:cs="Times New Roman"/>
                <w:b/>
                <w:sz w:val="26"/>
                <w:szCs w:val="26"/>
              </w:rPr>
              <w:t>Trước nội soi cầm máu</w:t>
            </w:r>
          </w:p>
        </w:tc>
        <w:tc>
          <w:tcPr>
            <w:tcW w:w="3827" w:type="dxa"/>
          </w:tcPr>
          <w:p w:rsidR="008E2B62" w:rsidRPr="008E2B62" w:rsidRDefault="008E2B62" w:rsidP="002748DA">
            <w:pPr>
              <w:spacing w:before="120" w:after="0" w:line="360" w:lineRule="auto"/>
              <w:ind w:right="-45"/>
              <w:jc w:val="both"/>
              <w:rPr>
                <w:rFonts w:ascii="Times New Roman" w:hAnsi="Times New Roman" w:cs="Times New Roman"/>
                <w:sz w:val="26"/>
                <w:szCs w:val="26"/>
              </w:rPr>
            </w:pPr>
            <w:r w:rsidRPr="008E2B62">
              <w:rPr>
                <w:rFonts w:ascii="Times New Roman" w:hAnsi="Times New Roman" w:cs="Times New Roman"/>
                <w:sz w:val="26"/>
                <w:szCs w:val="26"/>
              </w:rPr>
              <w:t>PPI có thể giúp trì hoãn hoặc giảm nhu cầu điều trị cầm máu nội soi tuy nhiên không cải thiện kết quả lâm sàng (chảy máu thêm, phẫu thuật hoặc tử vong).</w:t>
            </w:r>
          </w:p>
        </w:tc>
        <w:tc>
          <w:tcPr>
            <w:tcW w:w="5245" w:type="dxa"/>
          </w:tcPr>
          <w:p w:rsidR="008E2B62" w:rsidRPr="008E2B62" w:rsidRDefault="008E2B62" w:rsidP="002748DA">
            <w:pPr>
              <w:spacing w:before="120" w:after="0" w:line="360" w:lineRule="auto"/>
              <w:ind w:right="-45"/>
              <w:jc w:val="both"/>
              <w:rPr>
                <w:rFonts w:ascii="Times New Roman" w:hAnsi="Times New Roman" w:cs="Times New Roman"/>
                <w:sz w:val="26"/>
                <w:szCs w:val="26"/>
              </w:rPr>
            </w:pPr>
            <w:r w:rsidRPr="008E2B62">
              <w:rPr>
                <w:rFonts w:ascii="Times New Roman" w:hAnsi="Times New Roman" w:cs="Times New Roman"/>
                <w:sz w:val="26"/>
                <w:szCs w:val="26"/>
              </w:rPr>
              <w:t>Không thể đưa ra khuyến nghị cho hoặc chống lại liệu pháp PPI trước nội soi cho bệnh nhân xuất huyết tiêu hóa trên, do không có lợi ích lâm sàng của PPI trước nội soi. Tuy nhiên, ở những bệnh nhân không thể hoặc cần trì hoãn cầm máu qua nội soi, liệu pháp PPI có thể được sử dụng.</w:t>
            </w:r>
          </w:p>
        </w:tc>
      </w:tr>
      <w:tr w:rsidR="00157335" w:rsidRPr="008E2B62" w:rsidTr="00872AEA">
        <w:trPr>
          <w:cantSplit/>
          <w:trHeight w:val="1134"/>
        </w:trPr>
        <w:tc>
          <w:tcPr>
            <w:tcW w:w="534" w:type="dxa"/>
            <w:textDirection w:val="btLr"/>
          </w:tcPr>
          <w:p w:rsidR="008E2B62" w:rsidRPr="008E2B62" w:rsidRDefault="008E2B62" w:rsidP="008E2B62">
            <w:pPr>
              <w:spacing w:after="0" w:line="360" w:lineRule="auto"/>
              <w:ind w:left="113" w:right="-45"/>
              <w:jc w:val="center"/>
              <w:rPr>
                <w:rFonts w:ascii="Times New Roman" w:hAnsi="Times New Roman" w:cs="Times New Roman"/>
                <w:b/>
                <w:sz w:val="26"/>
                <w:szCs w:val="26"/>
              </w:rPr>
            </w:pPr>
            <w:r w:rsidRPr="008E2B62">
              <w:rPr>
                <w:rFonts w:ascii="Times New Roman" w:hAnsi="Times New Roman" w:cs="Times New Roman"/>
                <w:b/>
                <w:sz w:val="26"/>
                <w:szCs w:val="26"/>
              </w:rPr>
              <w:t>Sau nội soi cầm máu</w:t>
            </w:r>
          </w:p>
        </w:tc>
        <w:tc>
          <w:tcPr>
            <w:tcW w:w="3827" w:type="dxa"/>
          </w:tcPr>
          <w:p w:rsidR="008E2B62" w:rsidRPr="008E2B62" w:rsidRDefault="008E2B62" w:rsidP="002748DA">
            <w:pPr>
              <w:spacing w:before="120" w:after="0" w:line="360" w:lineRule="auto"/>
              <w:ind w:right="-45"/>
              <w:jc w:val="both"/>
              <w:rPr>
                <w:rFonts w:ascii="Times New Roman" w:hAnsi="Times New Roman" w:cs="Times New Roman"/>
                <w:sz w:val="26"/>
                <w:szCs w:val="26"/>
              </w:rPr>
            </w:pPr>
            <w:r w:rsidRPr="008E2B62">
              <w:rPr>
                <w:rFonts w:ascii="Times New Roman" w:hAnsi="Times New Roman" w:cs="Times New Roman"/>
                <w:sz w:val="26"/>
                <w:szCs w:val="26"/>
              </w:rPr>
              <w:t>Sau cầm máu nội soi thành công, PPI tiêm bolus 80mg, sau đó truyền tĩnh mạch liên tục 8mg/giờ trong 72 giờ.</w:t>
            </w:r>
          </w:p>
        </w:tc>
        <w:tc>
          <w:tcPr>
            <w:tcW w:w="5245" w:type="dxa"/>
          </w:tcPr>
          <w:p w:rsidR="008E2B62" w:rsidRPr="008E2B62" w:rsidRDefault="008E2B62" w:rsidP="008E2B62">
            <w:pPr>
              <w:spacing w:before="120" w:after="0" w:line="360" w:lineRule="auto"/>
              <w:ind w:right="-45"/>
              <w:jc w:val="both"/>
              <w:rPr>
                <w:rFonts w:ascii="Times New Roman" w:hAnsi="Times New Roman" w:cs="Times New Roman"/>
                <w:sz w:val="26"/>
                <w:szCs w:val="26"/>
              </w:rPr>
            </w:pPr>
            <w:r w:rsidRPr="008E2B62">
              <w:rPr>
                <w:rFonts w:ascii="Times New Roman" w:hAnsi="Times New Roman" w:cs="Times New Roman"/>
                <w:sz w:val="26"/>
                <w:szCs w:val="26"/>
              </w:rPr>
              <w:t>Sau khi cầm máu nội soi thành công, điều trị PPI</w:t>
            </w:r>
            <w:r>
              <w:rPr>
                <w:rFonts w:ascii="Times New Roman" w:hAnsi="Times New Roman" w:cs="Times New Roman"/>
                <w:sz w:val="26"/>
                <w:szCs w:val="26"/>
              </w:rPr>
              <w:t xml:space="preserve"> trong 3 ngày</w:t>
            </w:r>
            <w:r w:rsidRPr="008E2B62">
              <w:rPr>
                <w:rFonts w:ascii="Times New Roman" w:hAnsi="Times New Roman" w:cs="Times New Roman"/>
                <w:sz w:val="26"/>
                <w:szCs w:val="26"/>
              </w:rPr>
              <w:t xml:space="preserve"> giúp giảm tình trạng chảy máu thêm và giảm nguy cơ tử vong. Sử dụng PPI bằng </w:t>
            </w:r>
            <w:r w:rsidRPr="008E2B62">
              <w:rPr>
                <w:rFonts w:ascii="Times New Roman" w:hAnsi="Times New Roman" w:cs="Times New Roman"/>
                <w:b/>
                <w:sz w:val="26"/>
                <w:szCs w:val="26"/>
              </w:rPr>
              <w:t>một trong hai cách</w:t>
            </w:r>
            <w:r w:rsidRPr="008E2B62">
              <w:rPr>
                <w:rFonts w:ascii="Times New Roman" w:hAnsi="Times New Roman" w:cs="Times New Roman"/>
                <w:sz w:val="26"/>
                <w:szCs w:val="26"/>
              </w:rPr>
              <w:t xml:space="preserve"> sau:</w:t>
            </w:r>
          </w:p>
          <w:p w:rsidR="008E2B62" w:rsidRPr="008E2B62" w:rsidRDefault="008E2B62" w:rsidP="008E2B62">
            <w:pPr>
              <w:spacing w:after="0" w:line="360" w:lineRule="auto"/>
              <w:ind w:right="-45"/>
              <w:jc w:val="both"/>
              <w:rPr>
                <w:rFonts w:ascii="Times New Roman" w:hAnsi="Times New Roman" w:cs="Times New Roman"/>
                <w:sz w:val="26"/>
                <w:szCs w:val="26"/>
              </w:rPr>
            </w:pPr>
            <w:r w:rsidRPr="008E2B62">
              <w:rPr>
                <w:rFonts w:ascii="Times New Roman" w:hAnsi="Times New Roman" w:cs="Times New Roman"/>
                <w:sz w:val="26"/>
                <w:szCs w:val="26"/>
              </w:rPr>
              <w:t>1. Tiêm bolus 80mg, sau đó truyền 8mg/giờ.</w:t>
            </w:r>
          </w:p>
          <w:p w:rsidR="008E2B62" w:rsidRPr="008E2B62" w:rsidRDefault="00157335" w:rsidP="00157335">
            <w:pPr>
              <w:tabs>
                <w:tab w:val="left" w:pos="247"/>
              </w:tabs>
              <w:spacing w:after="0" w:line="360" w:lineRule="auto"/>
              <w:ind w:right="-45"/>
              <w:jc w:val="both"/>
              <w:rPr>
                <w:rFonts w:ascii="Times New Roman" w:hAnsi="Times New Roman" w:cs="Times New Roman"/>
                <w:sz w:val="26"/>
                <w:szCs w:val="26"/>
              </w:rPr>
            </w:pPr>
            <w:r>
              <w:rPr>
                <w:rFonts w:ascii="Times New Roman" w:hAnsi="Times New Roman" w:cs="Times New Roman"/>
                <w:sz w:val="26"/>
                <w:szCs w:val="26"/>
              </w:rPr>
              <w:t xml:space="preserve">2. </w:t>
            </w:r>
            <w:r w:rsidR="008E2B62" w:rsidRPr="008E2B62">
              <w:rPr>
                <w:rFonts w:ascii="Times New Roman" w:hAnsi="Times New Roman" w:cs="Times New Roman"/>
                <w:sz w:val="26"/>
                <w:szCs w:val="26"/>
              </w:rPr>
              <w:t xml:space="preserve">Tiêm bolus 80mg, sau đó </w:t>
            </w:r>
            <w:r w:rsidR="008E2B62" w:rsidRPr="008E2B62">
              <w:rPr>
                <w:rFonts w:ascii="Times New Roman" w:hAnsi="Times New Roman" w:cs="Times New Roman"/>
                <w:b/>
                <w:sz w:val="26"/>
                <w:szCs w:val="26"/>
              </w:rPr>
              <w:t>tiêm ngắt quãng 40mg/lần x 4 lần mỗi ngày.</w:t>
            </w:r>
          </w:p>
        </w:tc>
      </w:tr>
    </w:tbl>
    <w:p w:rsidR="00157335" w:rsidRPr="008E2B62" w:rsidRDefault="00157335" w:rsidP="00157335">
      <w:pPr>
        <w:spacing w:before="120" w:after="0"/>
        <w:jc w:val="both"/>
        <w:rPr>
          <w:rFonts w:ascii="Times New Roman" w:hAnsi="Times New Roman" w:cs="Times New Roman"/>
          <w:b/>
          <w:sz w:val="26"/>
          <w:szCs w:val="26"/>
        </w:rPr>
      </w:pPr>
      <w:r w:rsidRPr="008E2B62">
        <w:rPr>
          <w:rFonts w:ascii="Times New Roman" w:hAnsi="Times New Roman" w:cs="Times New Roman"/>
          <w:b/>
          <w:sz w:val="26"/>
          <w:szCs w:val="26"/>
        </w:rPr>
        <w:t xml:space="preserve">CHỦ TỊCH HĐT </w:t>
      </w:r>
      <w:r w:rsidRPr="008E2B62">
        <w:rPr>
          <w:rFonts w:ascii="Times New Roman" w:hAnsi="Times New Roman" w:cs="Times New Roman"/>
          <w:b/>
          <w:sz w:val="26"/>
          <w:szCs w:val="26"/>
        </w:rPr>
        <w:sym w:font="Symbol" w:char="F026"/>
      </w:r>
      <w:r w:rsidRPr="008E2B62">
        <w:rPr>
          <w:rFonts w:ascii="Times New Roman" w:hAnsi="Times New Roman" w:cs="Times New Roman"/>
          <w:b/>
          <w:sz w:val="26"/>
          <w:szCs w:val="26"/>
        </w:rPr>
        <w:t xml:space="preserve"> ĐT</w:t>
      </w:r>
      <w:r w:rsidRPr="008E2B62">
        <w:rPr>
          <w:rFonts w:ascii="Times New Roman" w:hAnsi="Times New Roman" w:cs="Times New Roman"/>
          <w:b/>
          <w:sz w:val="26"/>
          <w:szCs w:val="26"/>
        </w:rPr>
        <w:tab/>
      </w:r>
      <w:r w:rsidRPr="008E2B62">
        <w:rPr>
          <w:rFonts w:ascii="Times New Roman" w:hAnsi="Times New Roman" w:cs="Times New Roman"/>
          <w:b/>
          <w:sz w:val="26"/>
          <w:szCs w:val="26"/>
        </w:rPr>
        <w:tab/>
      </w:r>
      <w:r w:rsidR="00872AEA">
        <w:rPr>
          <w:rFonts w:ascii="Times New Roman" w:hAnsi="Times New Roman" w:cs="Times New Roman"/>
          <w:b/>
          <w:sz w:val="26"/>
          <w:szCs w:val="26"/>
        </w:rPr>
        <w:t xml:space="preserve">  </w:t>
      </w:r>
      <w:r w:rsidRPr="008E2B62">
        <w:rPr>
          <w:rFonts w:ascii="Times New Roman" w:hAnsi="Times New Roman" w:cs="Times New Roman"/>
          <w:b/>
          <w:sz w:val="26"/>
          <w:szCs w:val="26"/>
        </w:rPr>
        <w:t>KHOA DƯỢC</w:t>
      </w:r>
      <w:r w:rsidRPr="008E2B62">
        <w:rPr>
          <w:rFonts w:ascii="Times New Roman" w:hAnsi="Times New Roman" w:cs="Times New Roman"/>
          <w:b/>
          <w:sz w:val="26"/>
          <w:szCs w:val="26"/>
        </w:rPr>
        <w:tab/>
      </w:r>
      <w:r>
        <w:rPr>
          <w:rFonts w:ascii="Times New Roman" w:hAnsi="Times New Roman" w:cs="Times New Roman"/>
          <w:b/>
          <w:sz w:val="26"/>
          <w:szCs w:val="26"/>
        </w:rPr>
        <w:t xml:space="preserve">    </w:t>
      </w:r>
      <w:r w:rsidR="00872AEA">
        <w:rPr>
          <w:rFonts w:ascii="Times New Roman" w:hAnsi="Times New Roman" w:cs="Times New Roman"/>
          <w:b/>
          <w:sz w:val="26"/>
          <w:szCs w:val="26"/>
        </w:rPr>
        <w:t xml:space="preserve">    </w:t>
      </w:r>
      <w:r>
        <w:rPr>
          <w:rFonts w:ascii="Times New Roman" w:hAnsi="Times New Roman" w:cs="Times New Roman"/>
          <w:b/>
          <w:sz w:val="26"/>
          <w:szCs w:val="26"/>
        </w:rPr>
        <w:t>TỔ</w:t>
      </w:r>
      <w:r w:rsidRPr="008E2B62">
        <w:rPr>
          <w:rFonts w:ascii="Times New Roman" w:hAnsi="Times New Roman" w:cs="Times New Roman"/>
          <w:b/>
          <w:sz w:val="26"/>
          <w:szCs w:val="26"/>
        </w:rPr>
        <w:t xml:space="preserve"> THÔNG TIN THUỐC</w:t>
      </w:r>
    </w:p>
    <w:p w:rsidR="00157335" w:rsidRPr="008E2B62" w:rsidRDefault="00157335" w:rsidP="00157335">
      <w:pPr>
        <w:spacing w:after="0"/>
        <w:rPr>
          <w:rFonts w:ascii="Times New Roman" w:hAnsi="Times New Roman" w:cs="Times New Roman"/>
          <w:sz w:val="26"/>
          <w:szCs w:val="26"/>
        </w:rPr>
      </w:pPr>
    </w:p>
    <w:p w:rsidR="00157335" w:rsidRDefault="00157335" w:rsidP="00157335">
      <w:pPr>
        <w:rPr>
          <w:rFonts w:ascii="Times New Roman" w:hAnsi="Times New Roman" w:cs="Times New Roman"/>
          <w:sz w:val="26"/>
          <w:szCs w:val="26"/>
        </w:rPr>
      </w:pPr>
    </w:p>
    <w:p w:rsidR="00872AEA" w:rsidRDefault="00872AEA" w:rsidP="00157335">
      <w:pPr>
        <w:rPr>
          <w:rFonts w:ascii="Times New Roman" w:hAnsi="Times New Roman" w:cs="Times New Roman"/>
          <w:sz w:val="26"/>
          <w:szCs w:val="26"/>
        </w:rPr>
      </w:pPr>
    </w:p>
    <w:p w:rsidR="00157335" w:rsidRPr="008E2B62" w:rsidRDefault="00157335" w:rsidP="00872AEA">
      <w:pPr>
        <w:spacing w:before="360" w:after="0"/>
        <w:rPr>
          <w:rFonts w:ascii="Times New Roman" w:hAnsi="Times New Roman" w:cs="Times New Roman"/>
          <w:b/>
          <w:sz w:val="26"/>
          <w:szCs w:val="26"/>
        </w:rPr>
      </w:pPr>
      <w:r w:rsidRPr="008E2B62">
        <w:rPr>
          <w:rFonts w:ascii="Times New Roman" w:hAnsi="Times New Roman" w:cs="Times New Roman"/>
          <w:sz w:val="26"/>
          <w:szCs w:val="26"/>
        </w:rPr>
        <w:t xml:space="preserve"> </w:t>
      </w:r>
      <w:r>
        <w:rPr>
          <w:rFonts w:ascii="Times New Roman" w:hAnsi="Times New Roman" w:cs="Times New Roman"/>
          <w:b/>
          <w:sz w:val="26"/>
          <w:szCs w:val="26"/>
        </w:rPr>
        <w:t xml:space="preserve">  </w:t>
      </w:r>
      <w:r w:rsidRPr="008E2B62">
        <w:rPr>
          <w:rFonts w:ascii="Times New Roman" w:hAnsi="Times New Roman" w:cs="Times New Roman"/>
          <w:b/>
          <w:sz w:val="26"/>
          <w:szCs w:val="26"/>
        </w:rPr>
        <w:t>Bs.CKI. Trầ</w:t>
      </w:r>
      <w:r>
        <w:rPr>
          <w:rFonts w:ascii="Times New Roman" w:hAnsi="Times New Roman" w:cs="Times New Roman"/>
          <w:b/>
          <w:sz w:val="26"/>
          <w:szCs w:val="26"/>
        </w:rPr>
        <w:t xml:space="preserve">n Siêm         </w:t>
      </w:r>
      <w:r w:rsidR="00872AEA">
        <w:rPr>
          <w:rFonts w:ascii="Times New Roman" w:hAnsi="Times New Roman" w:cs="Times New Roman"/>
          <w:b/>
          <w:sz w:val="26"/>
          <w:szCs w:val="26"/>
        </w:rPr>
        <w:t xml:space="preserve"> </w:t>
      </w:r>
      <w:r w:rsidRPr="008E2B62">
        <w:rPr>
          <w:rFonts w:ascii="Times New Roman" w:hAnsi="Times New Roman" w:cs="Times New Roman"/>
          <w:b/>
          <w:sz w:val="26"/>
          <w:szCs w:val="26"/>
        </w:rPr>
        <w:t>Ds.CKI. Lương Chất Lườ</w:t>
      </w:r>
      <w:r>
        <w:rPr>
          <w:rFonts w:ascii="Times New Roman" w:hAnsi="Times New Roman" w:cs="Times New Roman"/>
          <w:b/>
          <w:sz w:val="26"/>
          <w:szCs w:val="26"/>
        </w:rPr>
        <w:t xml:space="preserve">ng       </w:t>
      </w:r>
      <w:bookmarkStart w:id="0" w:name="_GoBack"/>
      <w:bookmarkEnd w:id="0"/>
      <w:r w:rsidR="00773514">
        <w:rPr>
          <w:rFonts w:ascii="Times New Roman" w:hAnsi="Times New Roman" w:cs="Times New Roman"/>
          <w:b/>
          <w:sz w:val="26"/>
          <w:szCs w:val="26"/>
        </w:rPr>
        <w:t>Ths.</w:t>
      </w:r>
      <w:r>
        <w:rPr>
          <w:rFonts w:ascii="Times New Roman" w:hAnsi="Times New Roman" w:cs="Times New Roman"/>
          <w:b/>
          <w:sz w:val="26"/>
          <w:szCs w:val="26"/>
        </w:rPr>
        <w:t xml:space="preserve">Ds. </w:t>
      </w:r>
      <w:r w:rsidRPr="008E2B62">
        <w:rPr>
          <w:rFonts w:ascii="Times New Roman" w:hAnsi="Times New Roman" w:cs="Times New Roman"/>
          <w:b/>
          <w:sz w:val="26"/>
          <w:szCs w:val="26"/>
        </w:rPr>
        <w:t>Lý Khoa Đăng</w:t>
      </w:r>
    </w:p>
    <w:p w:rsidR="000C6C06" w:rsidRPr="008E2B62" w:rsidRDefault="002748DA" w:rsidP="008E2B62">
      <w:pPr>
        <w:spacing w:after="0"/>
        <w:jc w:val="both"/>
        <w:rPr>
          <w:rFonts w:ascii="Times New Roman" w:hAnsi="Times New Roman" w:cs="Times New Roman"/>
          <w:b/>
          <w:sz w:val="26"/>
          <w:szCs w:val="26"/>
        </w:rPr>
      </w:pPr>
      <w:r w:rsidRPr="008E2B62">
        <w:rPr>
          <w:rFonts w:ascii="Times New Roman" w:hAnsi="Times New Roman" w:cs="Times New Roman"/>
          <w:b/>
          <w:sz w:val="26"/>
          <w:szCs w:val="26"/>
        </w:rPr>
        <w:lastRenderedPageBreak/>
        <w:t>Tài liệu tham khảo:</w:t>
      </w:r>
    </w:p>
    <w:p w:rsidR="002748DA" w:rsidRPr="008E2B62" w:rsidRDefault="002748DA" w:rsidP="00157335">
      <w:pPr>
        <w:spacing w:before="120" w:after="0"/>
        <w:jc w:val="both"/>
        <w:rPr>
          <w:rFonts w:ascii="Times New Roman" w:hAnsi="Times New Roman" w:cs="Times New Roman"/>
          <w:color w:val="000000"/>
          <w:sz w:val="26"/>
          <w:szCs w:val="26"/>
          <w:shd w:val="clear" w:color="auto" w:fill="FFFFFF"/>
        </w:rPr>
      </w:pPr>
      <w:r w:rsidRPr="008E2B62">
        <w:rPr>
          <w:rFonts w:ascii="Times New Roman" w:hAnsi="Times New Roman" w:cs="Times New Roman"/>
          <w:color w:val="000000"/>
          <w:sz w:val="26"/>
          <w:szCs w:val="26"/>
          <w:shd w:val="clear" w:color="auto" w:fill="FFFFFF"/>
        </w:rPr>
        <w:t>1. Laine, Loren MD; Jensen, Dennis M MD. Management of Patients With Ulcer Bleeding, American Journal of Gastroenterology: March 2012 - V</w:t>
      </w:r>
      <w:r w:rsidR="008E2B62" w:rsidRPr="008E2B62">
        <w:rPr>
          <w:rFonts w:ascii="Times New Roman" w:hAnsi="Times New Roman" w:cs="Times New Roman"/>
          <w:color w:val="000000"/>
          <w:sz w:val="26"/>
          <w:szCs w:val="26"/>
          <w:shd w:val="clear" w:color="auto" w:fill="FFFFFF"/>
        </w:rPr>
        <w:t>olume 107 - Issue 3 - p 345-360.</w:t>
      </w:r>
    </w:p>
    <w:p w:rsidR="002748DA" w:rsidRPr="008E2B62" w:rsidRDefault="002748DA" w:rsidP="00157335">
      <w:pPr>
        <w:spacing w:before="120" w:after="0"/>
        <w:jc w:val="both"/>
        <w:rPr>
          <w:rFonts w:ascii="Times New Roman" w:hAnsi="Times New Roman" w:cs="Times New Roman"/>
          <w:color w:val="000000"/>
          <w:sz w:val="26"/>
          <w:szCs w:val="26"/>
          <w:shd w:val="clear" w:color="auto" w:fill="FFFFFF"/>
        </w:rPr>
      </w:pPr>
      <w:r w:rsidRPr="008E2B62">
        <w:rPr>
          <w:rFonts w:ascii="Times New Roman" w:hAnsi="Times New Roman" w:cs="Times New Roman"/>
          <w:color w:val="000000"/>
          <w:sz w:val="26"/>
          <w:szCs w:val="26"/>
          <w:shd w:val="clear" w:color="auto" w:fill="FFFFFF"/>
        </w:rPr>
        <w:t>2. Laine, Loren MD, FACG; Barkun, Alan N. MD, FACG; Saltzman, John R. MD, FACG; Martel, Myriam MSc; Leontiadis, Grigorios I. MD, PhD. ACG Clinical Guideline: Upper Gastrointestinal and Ulcer Bleeding, The American Journal of Gastroenterology: May 2021 - Volume 116 - Issue 5 - p 899-917</w:t>
      </w:r>
      <w:r w:rsidR="008E2B62" w:rsidRPr="008E2B62">
        <w:rPr>
          <w:rFonts w:ascii="Times New Roman" w:hAnsi="Times New Roman" w:cs="Times New Roman"/>
          <w:color w:val="000000"/>
          <w:sz w:val="26"/>
          <w:szCs w:val="26"/>
          <w:shd w:val="clear" w:color="auto" w:fill="FFFFFF"/>
        </w:rPr>
        <w:t>.</w:t>
      </w:r>
      <w:r w:rsidRPr="008E2B62">
        <w:rPr>
          <w:rFonts w:ascii="Times New Roman" w:hAnsi="Times New Roman" w:cs="Times New Roman"/>
          <w:color w:val="000000"/>
          <w:sz w:val="26"/>
          <w:szCs w:val="26"/>
          <w:shd w:val="clear" w:color="auto" w:fill="FFFFFF"/>
        </w:rPr>
        <w:t xml:space="preserve"> </w:t>
      </w:r>
    </w:p>
    <w:p w:rsidR="008E2B62" w:rsidRDefault="008E2B62" w:rsidP="008E2B62">
      <w:pPr>
        <w:spacing w:after="0"/>
        <w:jc w:val="both"/>
        <w:rPr>
          <w:rFonts w:ascii="Times New Roman" w:hAnsi="Times New Roman" w:cs="Times New Roman"/>
          <w:b/>
          <w:sz w:val="28"/>
          <w:szCs w:val="28"/>
        </w:rPr>
      </w:pPr>
    </w:p>
    <w:p w:rsidR="008E2B62" w:rsidRPr="008E2B62" w:rsidRDefault="008E2B62" w:rsidP="004C6BAB">
      <w:pPr>
        <w:jc w:val="both"/>
        <w:rPr>
          <w:rFonts w:ascii="Times New Roman" w:hAnsi="Times New Roman" w:cs="Times New Roman"/>
          <w:sz w:val="26"/>
          <w:szCs w:val="26"/>
        </w:rPr>
      </w:pPr>
    </w:p>
    <w:sectPr w:rsidR="008E2B62" w:rsidRPr="008E2B62" w:rsidSect="00872AEA">
      <w:pgSz w:w="11907" w:h="16840" w:code="9"/>
      <w:pgMar w:top="1134" w:right="1134" w:bottom="454" w:left="1418" w:header="39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2BF"/>
    <w:multiLevelType w:val="hybridMultilevel"/>
    <w:tmpl w:val="A36A9C24"/>
    <w:lvl w:ilvl="0" w:tplc="8DB25A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17753"/>
    <w:multiLevelType w:val="hybridMultilevel"/>
    <w:tmpl w:val="E968C82A"/>
    <w:lvl w:ilvl="0" w:tplc="8DB25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057DF"/>
    <w:multiLevelType w:val="hybridMultilevel"/>
    <w:tmpl w:val="7C961BA2"/>
    <w:lvl w:ilvl="0" w:tplc="8DB25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B023AF"/>
    <w:multiLevelType w:val="hybridMultilevel"/>
    <w:tmpl w:val="582CEED4"/>
    <w:lvl w:ilvl="0" w:tplc="8DB25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91F5E"/>
    <w:multiLevelType w:val="hybridMultilevel"/>
    <w:tmpl w:val="4A1C9800"/>
    <w:lvl w:ilvl="0" w:tplc="2E143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024D6"/>
    <w:multiLevelType w:val="hybridMultilevel"/>
    <w:tmpl w:val="A5762998"/>
    <w:lvl w:ilvl="0" w:tplc="8DB25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F3263E"/>
    <w:multiLevelType w:val="hybridMultilevel"/>
    <w:tmpl w:val="97760DDE"/>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C2A85"/>
    <w:multiLevelType w:val="hybridMultilevel"/>
    <w:tmpl w:val="E51CFA6E"/>
    <w:lvl w:ilvl="0" w:tplc="8DB25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311F32"/>
    <w:multiLevelType w:val="hybridMultilevel"/>
    <w:tmpl w:val="13FE6F0C"/>
    <w:lvl w:ilvl="0" w:tplc="8DB25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5C4603"/>
    <w:multiLevelType w:val="hybridMultilevel"/>
    <w:tmpl w:val="306E4766"/>
    <w:lvl w:ilvl="0" w:tplc="8DB25AB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D67693"/>
    <w:multiLevelType w:val="hybridMultilevel"/>
    <w:tmpl w:val="61961762"/>
    <w:lvl w:ilvl="0" w:tplc="1DF468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7590270"/>
    <w:multiLevelType w:val="hybridMultilevel"/>
    <w:tmpl w:val="E58A90E8"/>
    <w:lvl w:ilvl="0" w:tplc="8DB25AB8">
      <w:start w:val="1"/>
      <w:numFmt w:val="bullet"/>
      <w:lvlText w:val=""/>
      <w:lvlJc w:val="left"/>
      <w:pPr>
        <w:ind w:left="1080" w:hanging="360"/>
      </w:pPr>
      <w:rPr>
        <w:rFonts w:ascii="Symbol" w:hAnsi="Symbol" w:hint="default"/>
      </w:rPr>
    </w:lvl>
    <w:lvl w:ilvl="1" w:tplc="814A59B6">
      <w:numFmt w:val="bullet"/>
      <w:lvlText w:val="-"/>
      <w:lvlJc w:val="left"/>
      <w:pPr>
        <w:ind w:left="2340" w:hanging="90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6C4F64"/>
    <w:multiLevelType w:val="hybridMultilevel"/>
    <w:tmpl w:val="09066434"/>
    <w:lvl w:ilvl="0" w:tplc="8DB25AB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2"/>
  </w:num>
  <w:num w:numId="6">
    <w:abstractNumId w:val="1"/>
  </w:num>
  <w:num w:numId="7">
    <w:abstractNumId w:val="3"/>
  </w:num>
  <w:num w:numId="8">
    <w:abstractNumId w:val="11"/>
  </w:num>
  <w:num w:numId="9">
    <w:abstractNumId w:val="5"/>
  </w:num>
  <w:num w:numId="10">
    <w:abstractNumId w:val="1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AB"/>
    <w:rsid w:val="000C6C06"/>
    <w:rsid w:val="000E4CC6"/>
    <w:rsid w:val="00136C03"/>
    <w:rsid w:val="0014545E"/>
    <w:rsid w:val="00153805"/>
    <w:rsid w:val="00157335"/>
    <w:rsid w:val="00175A81"/>
    <w:rsid w:val="001905CD"/>
    <w:rsid w:val="001C02D3"/>
    <w:rsid w:val="001E413A"/>
    <w:rsid w:val="001F0880"/>
    <w:rsid w:val="002044CC"/>
    <w:rsid w:val="00266475"/>
    <w:rsid w:val="002748DA"/>
    <w:rsid w:val="002840DC"/>
    <w:rsid w:val="002B5E70"/>
    <w:rsid w:val="00322A42"/>
    <w:rsid w:val="0034498A"/>
    <w:rsid w:val="00363F3E"/>
    <w:rsid w:val="00402950"/>
    <w:rsid w:val="004250D9"/>
    <w:rsid w:val="00490E7B"/>
    <w:rsid w:val="004B033A"/>
    <w:rsid w:val="004C6BAB"/>
    <w:rsid w:val="004C7734"/>
    <w:rsid w:val="00522373"/>
    <w:rsid w:val="00540872"/>
    <w:rsid w:val="00543FAF"/>
    <w:rsid w:val="005A51FE"/>
    <w:rsid w:val="005B45DF"/>
    <w:rsid w:val="005C0354"/>
    <w:rsid w:val="005D6DE0"/>
    <w:rsid w:val="0064057F"/>
    <w:rsid w:val="006C6F0D"/>
    <w:rsid w:val="006E5B81"/>
    <w:rsid w:val="00714D68"/>
    <w:rsid w:val="007502AF"/>
    <w:rsid w:val="00763BB9"/>
    <w:rsid w:val="007714EA"/>
    <w:rsid w:val="00773514"/>
    <w:rsid w:val="007D1757"/>
    <w:rsid w:val="008136E9"/>
    <w:rsid w:val="00814119"/>
    <w:rsid w:val="00842D5C"/>
    <w:rsid w:val="00872AEA"/>
    <w:rsid w:val="00884A59"/>
    <w:rsid w:val="008959BF"/>
    <w:rsid w:val="008E2B62"/>
    <w:rsid w:val="009158EB"/>
    <w:rsid w:val="00915C80"/>
    <w:rsid w:val="00960919"/>
    <w:rsid w:val="00961A92"/>
    <w:rsid w:val="00992D7F"/>
    <w:rsid w:val="009976CE"/>
    <w:rsid w:val="009B10F5"/>
    <w:rsid w:val="00A00F4D"/>
    <w:rsid w:val="00A10B50"/>
    <w:rsid w:val="00AD739A"/>
    <w:rsid w:val="00AF26EB"/>
    <w:rsid w:val="00B01B1B"/>
    <w:rsid w:val="00B6004C"/>
    <w:rsid w:val="00B7186D"/>
    <w:rsid w:val="00B86F51"/>
    <w:rsid w:val="00BA2F3D"/>
    <w:rsid w:val="00BD03B9"/>
    <w:rsid w:val="00C0556B"/>
    <w:rsid w:val="00C075D9"/>
    <w:rsid w:val="00C153BA"/>
    <w:rsid w:val="00C70AA8"/>
    <w:rsid w:val="00C9242E"/>
    <w:rsid w:val="00C93982"/>
    <w:rsid w:val="00CA6CF9"/>
    <w:rsid w:val="00CD4EF7"/>
    <w:rsid w:val="00CF603D"/>
    <w:rsid w:val="00D22476"/>
    <w:rsid w:val="00D50274"/>
    <w:rsid w:val="00DB79C5"/>
    <w:rsid w:val="00E40955"/>
    <w:rsid w:val="00E51A9A"/>
    <w:rsid w:val="00E60D6A"/>
    <w:rsid w:val="00E86918"/>
    <w:rsid w:val="00EA4A2E"/>
    <w:rsid w:val="00ED34CD"/>
    <w:rsid w:val="00F122BA"/>
    <w:rsid w:val="00F3427D"/>
    <w:rsid w:val="00F66BD1"/>
    <w:rsid w:val="00F92C86"/>
    <w:rsid w:val="00FA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AB"/>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AB"/>
    <w:pPr>
      <w:spacing w:before="0" w:beforeAutospacing="0" w:line="240" w:lineRule="auto"/>
      <w:ind w:left="0" w:firstLine="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BAB"/>
    <w:pPr>
      <w:ind w:left="720"/>
      <w:contextualSpacing/>
    </w:pPr>
  </w:style>
  <w:style w:type="paragraph" w:styleId="BalloonText">
    <w:name w:val="Balloon Text"/>
    <w:basedOn w:val="Normal"/>
    <w:link w:val="BalloonTextChar"/>
    <w:uiPriority w:val="99"/>
    <w:semiHidden/>
    <w:unhideWhenUsed/>
    <w:rsid w:val="00C0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D9"/>
    <w:rPr>
      <w:rFonts w:ascii="Segoe UI" w:hAnsi="Segoe UI" w:cs="Segoe UI"/>
      <w:sz w:val="18"/>
      <w:szCs w:val="18"/>
    </w:rPr>
  </w:style>
  <w:style w:type="character" w:styleId="Hyperlink">
    <w:name w:val="Hyperlink"/>
    <w:basedOn w:val="DefaultParagraphFont"/>
    <w:uiPriority w:val="99"/>
    <w:unhideWhenUsed/>
    <w:rsid w:val="00284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AB"/>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AB"/>
    <w:pPr>
      <w:spacing w:before="0" w:beforeAutospacing="0" w:line="240" w:lineRule="auto"/>
      <w:ind w:left="0" w:firstLine="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BAB"/>
    <w:pPr>
      <w:ind w:left="720"/>
      <w:contextualSpacing/>
    </w:pPr>
  </w:style>
  <w:style w:type="paragraph" w:styleId="BalloonText">
    <w:name w:val="Balloon Text"/>
    <w:basedOn w:val="Normal"/>
    <w:link w:val="BalloonTextChar"/>
    <w:uiPriority w:val="99"/>
    <w:semiHidden/>
    <w:unhideWhenUsed/>
    <w:rsid w:val="00C0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D9"/>
    <w:rPr>
      <w:rFonts w:ascii="Segoe UI" w:hAnsi="Segoe UI" w:cs="Segoe UI"/>
      <w:sz w:val="18"/>
      <w:szCs w:val="18"/>
    </w:rPr>
  </w:style>
  <w:style w:type="character" w:styleId="Hyperlink">
    <w:name w:val="Hyperlink"/>
    <w:basedOn w:val="DefaultParagraphFont"/>
    <w:uiPriority w:val="99"/>
    <w:unhideWhenUsed/>
    <w:rsid w:val="0028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p:lastModifiedBy>
  <cp:revision>6</cp:revision>
  <cp:lastPrinted>2022-04-26T00:39:00Z</cp:lastPrinted>
  <dcterms:created xsi:type="dcterms:W3CDTF">2022-04-25T14:14:00Z</dcterms:created>
  <dcterms:modified xsi:type="dcterms:W3CDTF">2022-04-26T09:54:00Z</dcterms:modified>
</cp:coreProperties>
</file>